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18" w:lineRule="atLeast"/>
        <w:ind w:left="0" w:right="0"/>
        <w:jc w:val="center"/>
        <w:rPr>
          <w:rFonts w:hint="eastAsia" w:ascii="宋体" w:hAnsi="宋体" w:eastAsia="宋体" w:cs="宋体"/>
          <w:b/>
          <w:bCs w:val="0"/>
          <w:sz w:val="44"/>
          <w:szCs w:val="44"/>
        </w:rPr>
      </w:pPr>
      <w:r>
        <w:rPr>
          <w:rFonts w:hint="eastAsia" w:ascii="宋体" w:hAnsi="宋体" w:eastAsia="宋体" w:cs="宋体"/>
          <w:b/>
          <w:bCs w:val="0"/>
          <w:color w:val="001497"/>
          <w:sz w:val="44"/>
          <w:szCs w:val="44"/>
          <w:bdr w:val="none" w:color="auto" w:sz="0" w:space="0"/>
          <w:shd w:val="clear" w:fill="FFFFFF"/>
        </w:rPr>
        <w:t>中华人民共和国安全生产法</w:t>
      </w:r>
      <w:r>
        <w:rPr>
          <w:rFonts w:hint="eastAsia" w:ascii="宋体" w:hAnsi="宋体" w:eastAsia="宋体" w:cs="宋体"/>
          <w:b/>
          <w:bCs w:val="0"/>
          <w:color w:val="333333"/>
          <w:sz w:val="44"/>
          <w:szCs w:val="44"/>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center"/>
        <w:rPr>
          <w:rFonts w:hint="eastAsia" w:ascii="仿宋" w:hAnsi="仿宋" w:eastAsia="仿宋" w:cs="仿宋"/>
          <w:color w:val="000000" w:themeColor="text1"/>
          <w:sz w:val="28"/>
          <w:szCs w:val="28"/>
          <w:bdr w:val="none" w:color="auto" w:sz="0" w:space="0"/>
          <w:shd w:val="clear" w:fill="FFFFFF"/>
          <w14:textFill>
            <w14:solidFill>
              <w14:schemeClr w14:val="tx1"/>
            </w14:solidFill>
          </w14:textFill>
        </w:rPr>
      </w:pP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bdr w:val="none" w:color="auto" w:sz="0" w:space="0"/>
          <w:shd w:val="clear" w:fill="FFFFFF"/>
          <w14:textFill>
            <w14:solidFill>
              <w14:schemeClr w14:val="tx1"/>
            </w14:solidFill>
          </w14:textFill>
        </w:rPr>
        <w:t>(2002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bookmarkStart w:id="0" w:name="_GoBack"/>
      <w:bookmarkEnd w:id="0"/>
      <w:r>
        <w:rPr>
          <w:rFonts w:hint="eastAsia" w:ascii="仿宋" w:hAnsi="仿宋" w:eastAsia="仿宋" w:cs="仿宋"/>
          <w:color w:val="000000" w:themeColor="text1"/>
          <w:sz w:val="28"/>
          <w:szCs w:val="28"/>
          <w:bdr w:val="none" w:color="auto" w:sz="0" w:space="0"/>
          <w:shd w:val="clear" w:fill="FFFFFF"/>
          <w14:textFill>
            <w14:solidFill>
              <w14:schemeClr w14:val="tx1"/>
            </w14:solidFill>
          </w14:textFill>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color w:val="000000"/>
          <w:sz w:val="32"/>
          <w:szCs w:val="32"/>
          <w:bdr w:val="none" w:color="auto" w:sz="0" w:space="0"/>
          <w:shd w:val="clear" w:fill="FFFFFF"/>
        </w:rPr>
      </w:pP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目录</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第一章  总则</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第二章  生产经营单位的安全生产保障</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第三章  从业人员的安全生产权利义务</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第四章  安全生产的监督管理</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第五章  生产安全事故的应急救援与调查处理</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第六章  法律责任</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第七章  附则</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bdr w:val="none" w:color="auto" w:sz="0" w:space="0"/>
          <w:shd w:val="clear" w:fill="FFFFFF"/>
        </w:rPr>
        <w:t>    第一章  总则</w:t>
      </w:r>
      <w:r>
        <w:rPr>
          <w:rFonts w:hint="eastAsia" w:ascii="仿宋_GB2312" w:hAnsi="仿宋_GB2312" w:eastAsia="仿宋_GB2312" w:cs="仿宋_GB2312"/>
          <w:b/>
          <w:bCs/>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第一条  为了加强安全生产工作，防止和减少生产安全事故，保障人民群众生命和财产安全，促进经济社会持续健康发展，制定本法。</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第三条  安全生产工作应当以人为本，坚持安全发展，坚持安全第一、预防为主、综合治理的方针，强化和落实生产经营单位的主体责任，建立生产经营单位负责、职工参与、政府监管、行业自律和社会监督的机制。</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第四条  生产经营单位必须遵守本法和其他有关安全生产的法律、法规，加强安全生产管理，建立、健全安全生产责任制和安全生产规章  制度，改善安全生产条  件，推进安全生产标准化建设，提高安全生产水平，确保安全生产。</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第五条  生产经营单位的主要负责人对本单位的安全生产工作全面负责。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第六条  生产经营单位的从业人员有依法获得安全生产保障的权利，并应当依法履行安全生产方面的义务。</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第七条  工会依法对安全生产工作进行监督。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生产经营单位的工会依法组织职工参加本单位安全生产工作的民主管理和民主监督，维护职工在安全生产方面的合法权益。生产经营单位制定或者修改有关安全生产的规章  制度，应当听取工会的意见。</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第八条  国务院和县级以上地方各级人民政府应当根据国民经济和社会发展规划制定安全生产规划，并组织实施。安全生产规划应当与城乡规划相衔接。</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国务院和县级以上地方各级人民政府应当加强对安全生产工作的领导，支持、督促各有关部门依法履行安全生产监督管理职责，建立健全安全生产工作协调机制，及时协调、解决安全生产监督管理中存在的重大问题。</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第九条  国务院安全生产监督管理部门依照本法，对全国安全生产工作实施综合监督管理；县级以上地方各级人民政府安全生产监督管理部门依照本法，对本行政区域内安全生产工作实施综合监督管理。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安全生产监督管理部门和对有关行业、领域的安全生产工作实施监督管理的部门，统称负有安全生产监督管理职责的部门。</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第十条  国务院有关部门应当按照保障安全生产的要求，依法及时制定有关的国家标准或者行业标准，并根据科技进步和经济发展适时修订。</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生产经营单位必须执行依法制定的保障安全生产的国家标准或者行业标准。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第十一条  各级人民政府及其有关部门应当采取多种形式，加强对有关安全生产的法律、法规和安全生产知识的宣传，增强全社会的安全生产意识。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第十二条  有关协会组织依照法律、行政法规和章  程，为生产经营单位提供安全生产方面的信息、培训等服务，发挥自律作用，促进生产经营单位加强安全生产管理。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第十三条  依法设立的为安全生产提供技术、管理服务的机构，依照法律、行政法规和执业准则，接受生产经营单位的委托为其安全生产工作提供技术、管理服务。</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生产经营单位委托前款规定的机构提供安全生产技术、管理服务的，保证安全生产的责任仍由本单位负责。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第十四条  国家实行生产安全事故责任追究制度，依照本法和有关法律、法规的规定，追究生产安全事故责任人员的法律责任。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第十五条  国家鼓励和支持安全生产科学技术研究和安全生产先进技术的推广应用，提高安全生产水平。</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第十六条  国家对在改善安全生产条件、防止生产安全事故、参加抢险救护等方面取得显著成绩的单位和个人，给予奖励。</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第二章  生产经营单位的安全生产保障</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第十七条  生产经营单位应当具备本法和有关法律、行政法规和国家标准或者行业标准规定的安全生产条件；不具备安全生产条件的，不得从事生产经营活动。</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第十八条  生产经营单位的主要负责人对本单位安全生产工作负有下列职责：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（一）建立、健全本单位安全生产责任制；</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（二）组织制定本单位安全生产规章  制度和操作规程；  </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（三）组织制定并实施本单位安全生产教育和培训计划；</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（四）保证本单位安全生产投入的有效实施；   </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（五）督促、检查本单位的安全生产工作，及时消除生产安全事故隐患；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（六）组织制定并实施本单位的生产安全事故应急救援预案；</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（七）及时、如实报告生产安全事故。</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第十九条  生产经营单位的安全生产责任制应当明确各岗位的责任人员、责任范围和考核标准等内容。</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生产经营单位应当建立相应的机制，加强对安全生产责任制落实情况的监督考核，保证安全生产责任制的落实。</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第二十条  生产经营单位应当具备的安全生产条  件所必需的资金投入，由生产经营单位的决策机构、主要负责人或者个人经营的投资人予以保证，并对由于安全生产所必需的资金投入不足导致的后果承担责任。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第二十一条  矿山、金属冶炼、建筑施工、道路运输单位和危险物品的生产、经营、储存单位，应当设置安全生产管理机构或者配备专职安全生产管理人员。</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第二十二条  生产经营单位的安全生产管理机构以及安全生产管理人员履行下列职责：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（一）组织或者参与拟订本单位安全生产规章  制度、操作规程和生产安全事故应急救援预案；</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（二）组织或者参与本单位安全生产教育和培训，如实记录安全生产教育和培训情况；</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（三）督促落实本单位重大危险源的安全管理措施；</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（四）组织或者参与本单位应急救援演练；</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（五）检查本单位的安全生产状况，及时排查生产安全事故隐患，提出改进安全生产管理的建议；</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（六）制止和纠正违章  指挥、强令冒险作业、违反操作规程的行为；</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（七）督促落实本单位安全生产整改措施。</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第二十三条  生产经营单位的安全生产管理机构以及安全生产管理人员应当恪尽职守，依法履行职责。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生产经营单位作出涉及安全生产的经营决策，应当听取安全生产管理机构以及安全生产管理人员的意见。</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生产经营单位不得因安全生产管理人员依法履行职责而降低其工资、福利等待遇或者解除与其订立的劳动合同。</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危险物品的生产、储存单位以及矿山、金属冶炼单位的安全生产管理人员的任免，应当告知主管的负有安全生产监督管理职责的部门。</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第二十四条  生产经营单位的主要负责人和安全生产管理人员必须具备与本单位所从事的生产经营活动相应的安全生产知识和管理能力。</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危险物品的生产、经营、储存单位以及矿山、金属冶炼、建筑施工、道路运输单位的主要负责人和安全生产管理人员，应当由主管的负有安全生产监督管理职责的部门对其安全生产知识和管理能力考核合格。考核不得收费。</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生产经营单位应当建立安全生产教育和培训档案，如实记录安全生产教育和培训的时间、内容、参加人员以及考核结果等情况。</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第二十六条  生产经营单位采用新工艺、新技术、新材料或者使用新设备，必须了解、掌握其安全技术特性，采取有效的安全防护措施，并对从业人员进行专门的安全生产教育和培训。</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第二十七条  生产经营单位的特种作业人员必须按照国家有关规定经专门的安全作业培训，取得相应资格，方可上岗作业。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特种作业人员的范围由国务院安全生产监督管理部门会同国务院有关部门确定。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第二十八条  生产经营单位新建、改建、扩建工程项目（以下统称建设项目）的安全设施，必须与主体工程同时设计、同时施工、同时投入生产和使用。安全设施投资应当纳入建设项目概算。</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第二十九条  矿山、金属冶炼建设项目和用于生产、储存、装卸危险物品的建设项目，应当按照国家有关规定进行安全评价。</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第三十条  建设项目安全设施的设计人、设计单位应当对安全设施设计负责。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矿山、金属冶炼建设项目和用于生产、储存、装卸危险物品的建设项目的安全设施设计应当按照国家有关规定报经有关部门审查，审查部门及其负责审查的人员对审查结果负责。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第三十一条  矿山、金属冶炼建设项目和用于生产、储存、装卸危险物品的建设项目的施工单位必须按照批准的安全设施设计施工，并对安全设施的工程质量负责。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第三十二条  生产经营单位应当在有较大危险因素的生产经营场所和有关设施、设备上，设置明显的安全警示标志。</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第三十三条  安全设备的设计、制造、安装、使用、检测、维修、改造和报废，应当符合国家标准或者行业标准。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生产经营单位必须对安全设备进行经常性维护、保养，并定期检测，保证正常运转。维护、保养、检测应当作好记录，并由有关人员签字。</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第三十五条  国家对严重危及生产安全的工艺、设备实行淘汰制度，具体目录由国务院安全生产监督管理部门会同国务院有关部门制定并公布。法律、行政法规对目录的制定另有规定的，适用其规定。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省、自治区、直辖市人民政府可以根据本地区实际情况制定并公布具体目录，对前款规定以外的危及生产安全的工艺、设备予以淘汰。</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生产经营单位不得使用应当淘汰的危及生产安全的工艺、设备。</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第三十六条  生产、经营、运输、储存、使用危险物品或者处置废弃危险物品的，由有关主管部门依照有关法律、法规的规定和国家标准或者行业标准审批并实施监督管理。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生产、经营、运输、储存、使用危险物品或者处置废弃危险物品，必须执行有关法律、法规和国家标准或者行业标准，建立专门的安全管理制度，采取可靠的安全措施，接受有关主管部门依法实施的监督管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第三十七条  生产经营单位对重大危险源应当登记建档，进行定期检测、评估、监控，并制定应急预案，告知从业人员和相关人员在紧急情况下应当采取的应急措施。</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生产经营单位应当按照国家有关规定将本单位重大危险源及有关安全措施、应急措施报有关地方人民政府安全生产监督管理部门和有关部门备案。</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第三十八条  生产经营单位应当建立健全生产安全事故隐患排查治理制度，采取技术、管理措施，及时发现并消除事故隐患。事故隐患排查治理情况应当如实记录，并向从业人员通报。</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县级以上地方各级人民政府负有安全生产监督管理职责的部门应当建立健全重大事故隐患治理督办制度，督促生产经营单位消除重大事故隐患。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第三十九条  生产、经营、储存、使用危险物品的车间、商店、仓库不得与员工宿舍在同一座建筑物内，并应当与员工宿舍保持安全距离。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生产经营场所和员工宿舍应当设有符合紧急疏散要求、标志明显、保持畅通的出口。禁止锁闭、封堵生产经营场所或者员工宿舍的出口。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第四十条  生产经营单位进行爆破、吊装以及国务院安全生产监督管理部门会同国务院有关部门规定的其他危险作业，应当安排专门人员进行现场安全管理，确保操作规程的遵守和安全措施的落实。</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第四十一条  生产经营单位应当教育和督促从业人员严格执行本单位的安全生产规章  制度和安全操作规程；并向从业人员如实告知作业场所和工作岗位存在的危险因素、防范措施以及事故应急措施。</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第四十二条  生产经营单位必须为从业人员提供符合国家标准或者行业标准的劳动防护用品，并监督、教育从业人员按照使用规则佩戴、使用。</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第四十四条  生产经营单位应当安排用于配备劳动防护用品、进行安全生产培训的经费。</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第四十六条  生产经营单位不得将生产经营项目、场所、设备发包或者出租给不具备安全生产条  件或者相应资质的单位或者个人。</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第四十七条  生产经营单位发生生产安全事故时，单位的主要负责人应当立即组织抢救，并不得在事故调查处理期间擅离职守。</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第四十八条  生产经营单位必须依法参加工伤保险，为从业人员缴纳保险费。</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国家鼓励生产经营单位投保安全生产责任保险。</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第三章  从业人员的安全生产权利义务</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第四十九条  生产经营单位与从业人员订立的劳动合同，应当载明有关保障从业人员劳动安全、防止职业危害的事项，以及依法为从业人员办理工伤保险的事项。</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生产经营单位不得以任何形式与从业人员订立协议，免除或者减轻其对从业人员因生产安全事故伤亡依法应承担的责任。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第五十条  生产经营单位的从业人员有权了解其作业场所和工作岗位存在的危险因素、防范措施及事故应急措施，有权对本单位的安全生产工作提出建议。</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第五十一条  从业人员有权对本单位安全生产工作中存在的问题提出批评、检举、控告；有权拒绝违章  指挥和强令冒险作业。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生产经营单位不得因从业人员对本单位安全生产工作提出批评、检举、控告或者拒绝违章  指挥、强令冒险作业而降低其工资、福利等待遇或者解除与其订立的劳动合同。</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第五十二条  从业人员发现直接危及人身安全的紧急情况时，有权停止作业或者在采取可能的应急措施后撤离作业场所。</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生产经营单位不得因从业人员在前款紧急情况下停止作业或者采取紧急撤离措施而降低其工资、福利等待遇或者解除与其订立的劳动合同。</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第五十三条  因生产安全事故受到损害的从业人员，除依法享有工伤保险外，依照有关民事法律尚有获得赔偿的权利的，有权向本单位提出赔偿要求。</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第五十四条  从业人员在作业过程中，应当严格遵守本单位的安全生产规章  制度和操作规程，服从管理，正确佩戴和使用劳动防护用品。</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第五十五条  从业人员应当接受安全生产教育和培训，掌握本职工作所需的安全生产知识，提高安全生产技能，增强事故预防和应急处理能力。</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第五十六条  从业人员发现事故隐患或者其他不安全因素，应当立即向现场安全生产管理人员或者本单位负责人报告；接到报告的人员应当及时予以处理。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第五十七条  工会有权对建设项目的安全设施与主体工程同时设计、同时施工、同时投入生产和使用进行监督，提出意见。</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工会有权依法参加事故调查，向有关部门提出处理意见，并要求追究有关人员的责任。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第五十八条  生产经营单位使用被派遣劳动者的，被派遣劳动者享有本法规定的从业人员的权利，并应当履行本法规定的从业人员的义务。</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第四章  安全生产的监督管理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第五十九条  县级以上地方各级人民政府应当根据本行政区域内的安全生产状况，组织有关部门按照职责分工，对本行政区域内容易发生重大生产安全事故的生产经营单位进行严格检查。</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安全生产监督管理部门应当按照分类分级监督管理的要求，制定安全生产年度监督检查计划，并按照年度监督检查计划进行监督检查，发现事故隐患，应当及时处理。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  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第六十一条  负有安全生产监督管理职责的部门对涉及安全生产的事项进行审查、验收，不得收取费用；不得要求接受审查、验收的单位购买其指定品牌或者指定生产、销售单位的安全设备、器材或者其他产品。</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（一）进入生产经营单位进行检查，调阅有关资料，向有关单位和人员了解情况；</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（二）对检查中发现的安全生产违法行为，当场予以纠正或者要求限期改正；对依法应当给予行政处罚的行为，依照本法和其他有关法律、行政法规的规定作出行政处罚决定；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监督检查不得影响被检查单位的正常生产经营活动。</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第六十三条  生产经营单位对负有安全生产监督管理职责的部门的监督检查人员（以下统称安全生产监督检查人员）依法履行监督检查职责，应当予以配合，不得拒绝、阻挠。</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第六十四条  安全生产监督检查人员应当忠于职守，坚持原则，秉公执法。</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安全生产监督检查人员执行监督检查任务时，必须出示有效的监督执法证件；对涉及被检查单位的技术秘密和业务秘密，应当为其保密。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第六十八条  监察机关依照行政监察法的规定，对负有安全生产监督管理职责的部门及其工作人员履行安全生产监督管理职责实施监察。</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第六十九条  承担安全评价、认证、检测、检验的机构应当具备国家规定的资质条件，并对其作出的安全评价、认证、检测、检验的结果负责。</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第七十一条  任何单位或者个人对事故隐患或者安全生产违法行为，均有权向负有安全生产监督管理职责的部门报告或者举报。</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第七十二条  居民委员会、村民委员会发现其所在区域内的生产经营单位存在事故隐患或者安全生产违法行为时，应当向当地人民政府或者有关部门报告。</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第七十三条  县级以上各级人民政府及其有关部门对报告重大事故隐患或者举报安全生产违法行为的有功人员，给予奖励。具体奖励办法由国务院安全生产监督管理部门会同国务院财政部门制定。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第七十四条  新闻、出版、广播、电影、电视等单位有进行安全生产公益宣传教育的义务，有对违反安全生产法律、法规的行为进行舆论监督的权利。</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第五章  生产安全事故的应急救援与调查处理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国务院安全生产监督管理部门建立全国统一的生产安全事故应急救援信息系统，国务院有关部门建立健全相关行业、领域的生产安全事故应急救援信息系统。</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第七十七条  县级以上地方各级人民政府应当组织有关部门制定本行政区域内生产安全事故应急救援预案，建立应急救援体系。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第七十八条  生产经营单位应当制定本单位生产安全事故应急救援预案，与所在地县级以上地方人民政府组织制定的生产安全事故应急救援预案相衔接，并定期组织演练。</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第七十九条  危险物品的生产、经营、储存单位以及矿山、金属冶炼、城市轨道交通运营、建筑施工单位应当建立应急救援组织；生产经营规模较小的，可以不建立应急救援组织，但应当指定兼职的应急救援人员。</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危险物品的生产、经营、储存、运输单位以及矿山、金属冶炼、城市轨道交通运营、建筑施工单位应当配备必要的应急救援器材、设备和物资，并进行经常性维护、保养，保证正常运转。</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第八十条  生产经营单位发生生产安全事故后，事故现场有关人员应当立即报告本单位负责人。</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第八十一条  负有安全生产监督管理职责的部门接到事故报告后，应当立即按照国家有关规定上报事故情况。负有安全生产监督管理职责的部门和有关地方人民政府对事故情况不得隐瞒不报、谎报或者迟报。</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第八十二条  有关地方人民政府和负有安全生产监督管理职责的部门的负责人接到生产安全事故报告后，应当按照生产安全事故应急救援预案的要求立即赶到事故现场，组织事故抢救。</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参与事故抢救的部门和单位应当服从统一指挥，加强协同联动，采取有效的应急救援措施，并根据事故救援的需要采取警戒、疏散等措施，防止事故扩大和次生灾害的发生，减少人员伤亡和财产损失。</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事故抢救过程中应当采取必要措施，避免或者减少对环境造成的危害。</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任何单位和个人都应当支持、配合事故抢救，并提供一切便利条件。</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事故发生单位应当及时全面落实整改措施，负有安全生产监督管理职责的部门应当加强监督检查。</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  的规定追究法律责任。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第八十五条  任何单位和个人不得阻挠和干涉对事故的依法调查处理。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第八十六条  县级以上地方各级人民政府安全生产监督管理部门应当定期统计分析本行政区域内发生生产安全事故的情况，并定期向社会公布。</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第六章  法律责任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第八十七条  负有安全生产监督管理职责的部门的工作人员，有下列行为之一的，给予降级或者撤职的处分；构成犯罪的，依照刑法有关规定追究刑事责任：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（一）对不符合法定安全生产条  件的涉及安全生产的事项予以批准或者验收通过的；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（二）发现未依法取得批准、验收的单位擅自从事有关活动或者接到举报后不予取缔或者不依法予以处理的；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（三）对已经依法取得批准的单位不履行监督管理职责，发现其不再具备安全生产条  件而不撤销原批准或者发现安全生产违法行为不予查处的；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（四）在监督检查中发现重大事故隐患，不依法及时处理的。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负有安全生产监督管理职责的部门的工作人员有前款规定以外的滥用职权、玩忽职守、徇私舞弊行为的，依法给予处分；构成犯罪的，依照刑法有关规定追究刑事责任。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对有前款违法行为的机构，吊销其相应资质。</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第九十条  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有前款违法行为，导致发生生产安全事故的，对生产经营单位的主要负责人给予撤职处分，对个人经营的投资人处二万元以上二十万元以下的罚款；构成犯罪的，依照刑法有关规定追究刑事责任。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第九十一条  生产经营单位的主要负责人未履行本法规定的安全生产管理职责的，责令限期改正；逾期未改正的，处二万元以上五万元以下的罚款，责令生产经营单位停产停业整顿。</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生产经营单位的主要负责人有前款违法行为，导致发生生产安全事故的，给予撤职处分；构成犯罪的，依照刑法有关规定追究刑事责任。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第九十二条  生产经营单位的主要负责人未履行本法规定的安全生产管理职责，导致发生生产安全事故的，由安全生产监督管理部门依照下列规定处以罚款：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（一）发生一般事故的，处上一年年收入百分之三十的罚款；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（二）发生较大事故的，处上一年年收入百分之四十的罚款；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（三）发生重大事故的，处上一年年收入百分之六十的罚款；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（四）发生特别重大事故的，处上一年年收入百分之八十的罚款。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第九十三条  生产经营单位的安全生产管理人员未履行本法规定的安全生产管理职责的，责令限期改正；导致发生生产安全事故的，暂停或者撤销其与安全生产有关的资格；构成犯罪的，依照刑法有关规定追究刑事责任。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（一）未按照规定设置安全生产管理机构或者配备安全生产管理人员的；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（二）危险物品的生产、经营、储存单位以及矿山、金属冶炼、建筑施工、道路运输单位的主要负责人和安全生产管理人员未按照规定经考核合格的；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（三）未按照规定对从业人员、被派遣劳动者、实习学生进行安全生产教育和培训，或者未按照规定如实告知有关的安全生产事项的；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（四）未如实记录安全生产教育和培训情况的；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（五）未将事故隐患排查治理情况如实记录或者未向从业人员通报的；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（六）未按照规定制定生产安全事故应急救援预案或者未定期组织演练的；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（七）特种作业人员未按照规定经专门的安全作业培训并取得相应资格，上岗作业的。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（一）未按照规定对矿山、金属冶炼建设项目或者用于生产、储存、装卸危险物品的建设项目进行安全评价的；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（二）矿山、金属冶炼建设项目或者用于生产、储存、装卸危险物品的建设项目没有安全设施设计或者安全设施设计未按照规定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报经有关部门审查同意的；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（三）矿山、金属冶炼建设项目或者用于生产、储存、装卸危险物品的建设项目的施工单位未按照批准的安全设施设计施工的；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（四）矿山、金属冶炼建设项目或者用于生产、储存危险物品的建设项目竣工投入生产或者使用前，安全设施未经验收合格的。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（一）未在有较大危险因素的生产经营场所和有关设施、设备上设置明显的安全警示标志的；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（二）安全设备的安装、使用、检测、改造和报废不符合国家标准或者行业标准的；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（三）未对安全设备进行经常性维护、保养和定期检测的；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（四）未为从业人员提供符合国家标准或者行业标准的劳动防护用品的；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（五）危险物品的容器、运输工具，以及涉及人身安全、危险性较大的海洋石油开采特种设备和矿山井下特种设备未经具有专业资质的机构检测、检验合格，取得安全使用证或者安全标志，投入使用的；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（六）使用应当淘汰的危及生产安全的工艺、设备的。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第九十七条  未经依法批准，擅自生产、经营、运输、储存、使用危险物品或者处置废弃危险物品的，依照有关危险物品安全管理的法律、行政法规的规定予以处罚；构成犯罪的，依照刑法有关规定追究刑事责任。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（一）生产、经营、运输、储存、使用危险物品或者处置废弃危险物品，未建立专门安全管理制度、未采取可靠的安全措施的；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（二）对重大危险源未登记建档，或者未进行评估、监控，或者未制定应急预案的；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（三）进行爆破、吊装以及国务院安全生产监督管理部门会同国务院有关部门规定的其他危险作业，未安排专门人员进行现场安全管理的；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（四）未建立事故隐患排查治理制度的。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第一百条  生产经营单位将生产经营项目、场所、设备发包或者出租给不具备安全生产条  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（一）生产、经营、储存、使用危险物品的车间、商店、仓库与员工宿舍在同一座建筑内，或者与员工宿舍的距离不符合安全要求的；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（二）生产经营场所和员工宿舍未设有符合紧急疏散需要、标志明显、保持畅通的出口，或者锁闭、封堵生产经营场所或者员工宿舍出口的。</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第一百零四条  生产经营单位的从业人员不服从管理，违反安全生产规章  制度或者操作规程的，由生产经营单位给予批评教育，依照有关规章  制度给予处分；构成犯罪的，依照刑法有关规定追究刑事责任。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生产经营单位的主要负责人对生产安全事故隐瞒不报、谎报或者迟报的，依照前款规定处罚。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第一百零八条  生产经营单位不具备本法和其他有关法律、行政法规和国家标准或者行业标准规定的安全生产条件，经停产停业整顿仍不具备安全生产条件的，予以关闭；有关部门应当依法吊销其有关证照。</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第一百零九条  发生生产安全事故，对负有责任的生产经营单位除要求其依法承担相应的赔偿等责任外，由安全生产监督管理部门依照下列规定处以罚款: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（一）发生一般事故的，处二十万元以上五十万元以下的罚款；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（二）发生较大事故的，处五十万元以上一百万元以下的罚款；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（三）发生重大事故的，处一百万元以上五百万元以下的罚款；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（四）发生特别重大事故的，处五百万元以上一千万元以下的罚款；情节特别严重的，处一千万元以上二千万元以下的罚款。</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第一百一十一条  生产经营单位发生生产安全事故造成人员伤亡、他人财产损失的，应当依法承担赔偿责任；拒不承担或者其负责人逃匿的，由人民法院依法强制执行。</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生产安全事故的责任人未依法承担赔偿责任，经人民法院依法采取执行措施后，仍不能对受害人给予足额赔偿的，应当继续履行赔偿义务；受害人发现责任人有其他财产的，可以随时请求人民法院执行。</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第七章  附则</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第一百一十二条  本法下列用语的含义：</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危险物品，是指易燃易爆物品、危险化学品、放射性物品等能够危及人身安全和财产安全的物品。</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重大危险源，是指长期地或者临时地生产、搬运、使用或者储存危险物品，且危险物品的数量等于或者超过临界量的单元（包括场所和设施）。</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第一百一十三条  本法规定的生产安全一般事故、较大事故、重大事故、特别重大事故的划分标准由国务院规定。</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国务院安全生产监督管理部门和其他负有安全生产监督管理职责的部门应当根据各自的职责分工，制定相关行业、领域重大事故隐患的判定标准。</w:t>
      </w:r>
      <w:r>
        <w:rPr>
          <w:rFonts w:hint="eastAsia" w:ascii="仿宋" w:hAnsi="仿宋" w:eastAsia="仿宋" w:cs="仿宋"/>
          <w:color w:val="333333"/>
          <w:sz w:val="32"/>
          <w:szCs w:val="32"/>
          <w:bdr w:val="none" w:color="auto" w:sz="0" w:space="0"/>
          <w:shd w:val="clear" w:fill="FFFFFF"/>
        </w:rPr>
        <w:t xml:space="preserve"> </w:t>
      </w:r>
    </w:p>
    <w:p>
      <w:pPr>
        <w:pStyle w:val="2"/>
        <w:keepNext w:val="0"/>
        <w:keepLines w:val="0"/>
        <w:widowControl/>
        <w:suppressLineNumbers w:val="0"/>
        <w:shd w:val="clear" w:fill="FFFFFF"/>
        <w:spacing w:before="0" w:beforeAutospacing="0" w:after="0" w:afterAutospacing="0" w:line="18"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shd w:val="clear" w:fill="FFFFFF"/>
        </w:rPr>
        <w:t>    第一百一十四条  本法自2002年11月1日起施行。</w:t>
      </w:r>
      <w:r>
        <w:rPr>
          <w:rFonts w:hint="eastAsia" w:ascii="仿宋" w:hAnsi="仿宋" w:eastAsia="仿宋" w:cs="仿宋"/>
          <w:color w:val="333333"/>
          <w:sz w:val="32"/>
          <w:szCs w:val="32"/>
          <w:bdr w:val="none" w:color="auto" w:sz="0" w:space="0"/>
          <w:shd w:val="clear" w:fill="FFFFFF"/>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37FB9"/>
    <w:rsid w:val="10837FB9"/>
    <w:rsid w:val="513F2BC3"/>
    <w:rsid w:val="68CE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105CB6"/>
      <w:u w:val="none"/>
      <w:bdr w:val="none" w:color="auto" w:sz="0" w:space="0"/>
    </w:rPr>
  </w:style>
  <w:style w:type="character" w:styleId="5">
    <w:name w:val="Emphasis"/>
    <w:basedOn w:val="3"/>
    <w:qFormat/>
    <w:uiPriority w:val="0"/>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color w:val="105CB6"/>
      <w:u w:val="none"/>
      <w:bdr w:val="none" w:color="auto" w:sz="0" w:space="0"/>
    </w:rPr>
  </w:style>
  <w:style w:type="character" w:styleId="9">
    <w:name w:val="HTML Code"/>
    <w:basedOn w:val="3"/>
    <w:uiPriority w:val="0"/>
    <w:rPr>
      <w:rFonts w:ascii="Courier New" w:hAnsi="Courier New" w:eastAsia="Courier New" w:cs="Courier New"/>
      <w:sz w:val="20"/>
    </w:rPr>
  </w:style>
  <w:style w:type="character" w:styleId="10">
    <w:name w:val="HTML Cite"/>
    <w:basedOn w:val="3"/>
    <w:uiPriority w:val="0"/>
  </w:style>
  <w:style w:type="character" w:styleId="11">
    <w:name w:val="HTML Keyboard"/>
    <w:basedOn w:val="3"/>
    <w:uiPriority w:val="0"/>
    <w:rPr>
      <w:rFonts w:hint="default" w:ascii="Courier New" w:hAnsi="Courier New" w:eastAsia="Courier New" w:cs="Courier New"/>
      <w:sz w:val="20"/>
    </w:rPr>
  </w:style>
  <w:style w:type="character" w:styleId="12">
    <w:name w:val="HTML Sample"/>
    <w:basedOn w:val="3"/>
    <w:uiPriority w:val="0"/>
    <w:rPr>
      <w:rFonts w:hint="default" w:ascii="Courier New" w:hAnsi="Courier New" w:eastAsia="Courier New" w:cs="Courier New"/>
    </w:rPr>
  </w:style>
  <w:style w:type="character" w:customStyle="1" w:styleId="14">
    <w:name w:val="l-over"/>
    <w:basedOn w:val="3"/>
    <w:uiPriority w:val="0"/>
    <w:rPr>
      <w:bdr w:val="single" w:color="DAB364" w:sz="4" w:space="0"/>
    </w:rPr>
  </w:style>
  <w:style w:type="character" w:customStyle="1" w:styleId="15">
    <w:name w:val="l-selected2"/>
    <w:basedOn w:val="3"/>
    <w:uiPriority w:val="0"/>
    <w:rPr>
      <w:color w:val="355686"/>
      <w:bdr w:val="single" w:color="DAB364" w:sz="4" w:space="0"/>
      <w:shd w:val="clear" w:fill="FFFFFF"/>
    </w:rPr>
  </w:style>
  <w:style w:type="character" w:customStyle="1" w:styleId="16">
    <w:name w:val="l-open"/>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2018-12-07T02:50:00Z</dcterms:created>
  <dc:creator>李  泉</dc:creator>
  <cp:lastModifiedBy>李  泉</cp:lastModifiedBy>
  <dcterms:modified xsi:type="dcterms:W3CDTF">2018-12-07T03:14:36Z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